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E748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ind w:left="0" w:leftChars="0" w:firstLine="0" w:firstLineChars="0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ind w:left="0" w:leftChars="0" w:firstLine="0" w:firstLineChars="0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323215"/>
                <wp:effectExtent l="0" t="0" r="0" b="635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8C3437">
                            <w:pPr>
                              <w:ind w:left="0" w:leftChars="0" w:firstLine="0" w:firstLineChars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361304 с. Кахун ул. им. Умара Шибзухова, 160                                                      т/ф. 70-3-25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25.45pt;width:486pt;z-index:251660288;mso-width-relative:page;mso-height-relative:page;" fillcolor="#FFFFFF" filled="t" stroked="f" coordsize="21600,21600" o:gfxdata="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//AYrXAAAACQEAAA8A&#10;AAAAAAAAAQAgAAAAIgAAAGRycy9kb3ducmV2LnhtbFBLAQIUABQAAAAIAIdO4kCIYQrw3wEAAK8D&#10;AAAOAAAAAAAAAAEAIAAAACY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pPr>
                        <w:ind w:left="0" w:leftChars="0" w:firstLine="0" w:firstLineChars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361304 с. Кахун ул. им. Умара Шибзухова, 160       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165" cy="0"/>
                <wp:effectExtent l="0" t="8890" r="0" b="9525"/>
                <wp:wrapNone/>
                <wp:docPr id="1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165" cy="0"/>
                        </a:xfrm>
                        <a:prstGeom prst="straightConnector1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Линия 8" o:spid="_x0000_s1026" o:spt="32" type="#_x0000_t32" style="position:absolute;left:0pt;margin-left:-0.85pt;margin-top:2.9pt;height:0pt;width:473.95pt;mso-position-horizontal-relative:margin;z-index:251659264;mso-width-relative:page;mso-height-relative:page;" filled="f" stroked="t" coordsize="21600,21600" o:gfxdata="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ZNcONYAAAAGAQAADwAAAAAAAAABACAAAAAiAAAAZHJzL2Rvd25yZXYueG1s&#10;UEsBAhQAFAAAAAgAh07iQFPUliD6AQAA+AMAAA4AAAAAAAAAAQAgAAAAJQEAAGRycy9lMm9Eb2Mu&#10;eG1sUEsFBgAAAAAGAAYAWQEAAJEFAAAAAA==&#10;">
                <v:fill on="f" focussize="0,0"/>
                <v:stroke weight="1.4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э                №  </w:t>
      </w:r>
      <w:r>
        <w:rPr>
          <w:rFonts w:hint="default"/>
          <w:sz w:val="26"/>
          <w:szCs w:val="26"/>
          <w:lang w:val="ru-RU"/>
        </w:rPr>
        <w:t>25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Б е г и м                                    №  </w:t>
      </w:r>
      <w:r>
        <w:rPr>
          <w:rFonts w:hint="default"/>
          <w:sz w:val="26"/>
          <w:szCs w:val="26"/>
          <w:lang w:val="ru-RU"/>
        </w:rPr>
        <w:t>25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 xml:space="preserve">П о с т а н о в л е н и е            №  </w:t>
      </w:r>
      <w:r>
        <w:rPr>
          <w:rFonts w:hint="default"/>
          <w:sz w:val="26"/>
          <w:szCs w:val="26"/>
          <w:lang w:val="ru-RU"/>
        </w:rPr>
        <w:t>25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6"/>
          <w:szCs w:val="26"/>
        </w:rPr>
      </w:pPr>
    </w:p>
    <w:p w14:paraId="20B124FC">
      <w:pPr>
        <w:pStyle w:val="34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22 апреля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г.                                                                                             с.п. Кахун</w:t>
      </w:r>
    </w:p>
    <w:p w14:paraId="30638E58">
      <w:pPr>
        <w:rPr>
          <w:sz w:val="20"/>
          <w:szCs w:val="20"/>
        </w:rPr>
      </w:pPr>
    </w:p>
    <w:p w14:paraId="2BB847C0">
      <w:pPr>
        <w:tabs>
          <w:tab w:val="left" w:pos="4295"/>
        </w:tabs>
        <w:ind w:firstLine="284"/>
        <w:jc w:val="center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Об утверждении основных направлений бюджетной и налоговой политики МКУ «Администрация с. п. </w:t>
      </w:r>
      <w:r>
        <w:rPr>
          <w:b w:val="0"/>
          <w:bCs/>
          <w:sz w:val="26"/>
          <w:szCs w:val="26"/>
          <w:lang w:val="ru-RU"/>
        </w:rPr>
        <w:t>Кахун</w:t>
      </w:r>
      <w:r>
        <w:rPr>
          <w:b w:val="0"/>
          <w:bCs/>
          <w:sz w:val="26"/>
          <w:szCs w:val="26"/>
        </w:rPr>
        <w:t>»</w:t>
      </w:r>
      <w:r>
        <w:rPr>
          <w:rFonts w:hint="default"/>
          <w:b w:val="0"/>
          <w:bCs/>
          <w:sz w:val="26"/>
          <w:szCs w:val="26"/>
          <w:lang w:val="ru-RU"/>
        </w:rPr>
        <w:t xml:space="preserve"> </w:t>
      </w:r>
      <w:r>
        <w:rPr>
          <w:b w:val="0"/>
          <w:bCs/>
          <w:sz w:val="26"/>
          <w:szCs w:val="26"/>
        </w:rPr>
        <w:t>на 2026 г. и на плановый 2027 и 2028 гг.</w:t>
      </w:r>
    </w:p>
    <w:p w14:paraId="32BA8082">
      <w:pPr>
        <w:pStyle w:val="33"/>
        <w:widowControl/>
        <w:spacing w:line="240" w:lineRule="exact"/>
        <w:ind w:left="1102"/>
        <w:jc w:val="both"/>
        <w:rPr>
          <w:b/>
          <w:sz w:val="26"/>
          <w:szCs w:val="26"/>
        </w:rPr>
      </w:pPr>
    </w:p>
    <w:p w14:paraId="6154D92E">
      <w:pPr>
        <w:pStyle w:val="3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Руководствуясь Бюджетным кодексом Российской Федерации, статьей 14 Федерального Закона от 06.10.2003 № 131-ФЗ «Об общих принципах организации местного самоуправления в Российской Федерации», в соответствии с требованиями Закона Кабардино-Балкарской Республики от 07.02.2011 г. №11-РЗ «О бюджетном устройстве и бюджетном процессе в Кабардино-Балкарской Республике»,  </w:t>
      </w:r>
      <w:r>
        <w:rPr>
          <w:rStyle w:val="31"/>
          <w:color w:val="000000"/>
          <w:sz w:val="26"/>
          <w:szCs w:val="26"/>
        </w:rPr>
        <w:t xml:space="preserve">местная администрация сельского поселения  </w:t>
      </w:r>
      <w:r>
        <w:rPr>
          <w:rStyle w:val="31"/>
          <w:color w:val="000000"/>
          <w:sz w:val="26"/>
          <w:szCs w:val="26"/>
          <w:lang w:val="ru-RU"/>
        </w:rPr>
        <w:t>Кахун</w:t>
      </w:r>
      <w:r>
        <w:rPr>
          <w:rStyle w:val="31"/>
          <w:color w:val="000000"/>
          <w:sz w:val="26"/>
          <w:szCs w:val="26"/>
        </w:rPr>
        <w:t xml:space="preserve"> Урванского муниципального района Кабардино-Балкарской Республики</w:t>
      </w:r>
      <w:r>
        <w:rPr>
          <w:sz w:val="26"/>
          <w:szCs w:val="26"/>
        </w:rPr>
        <w:t xml:space="preserve">    </w:t>
      </w:r>
    </w:p>
    <w:p w14:paraId="130A74AF">
      <w:pPr>
        <w:ind w:firstLine="567"/>
        <w:rPr>
          <w:sz w:val="26"/>
          <w:szCs w:val="26"/>
        </w:rPr>
      </w:pPr>
    </w:p>
    <w:p w14:paraId="19F4A9AA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14:paraId="682A5803">
      <w:pPr>
        <w:spacing w:line="240" w:lineRule="exact"/>
        <w:ind w:firstLine="567"/>
        <w:jc w:val="center"/>
        <w:rPr>
          <w:b/>
          <w:sz w:val="26"/>
          <w:szCs w:val="26"/>
        </w:rPr>
      </w:pPr>
    </w:p>
    <w:p w14:paraId="27AF9D46">
      <w:pPr>
        <w:numPr>
          <w:ilvl w:val="1"/>
          <w:numId w:val="1"/>
        </w:numPr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Утвердить основные направления бюджетной и налоговой политики МКУ «Администрация с.п.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>» на 2026 и на плановый период 2027 и 2028 годов (прилагается).</w:t>
      </w:r>
    </w:p>
    <w:p w14:paraId="473EF997">
      <w:pPr>
        <w:numPr>
          <w:ilvl w:val="1"/>
          <w:numId w:val="1"/>
        </w:numPr>
        <w:ind w:left="0" w:firstLine="567"/>
        <w:rPr>
          <w:sz w:val="26"/>
          <w:szCs w:val="26"/>
        </w:rPr>
      </w:pPr>
      <w:r>
        <w:rPr>
          <w:sz w:val="26"/>
          <w:szCs w:val="26"/>
          <w:lang w:val="ru-RU"/>
        </w:rPr>
        <w:t>Начальнику</w:t>
      </w:r>
      <w:r>
        <w:rPr>
          <w:rFonts w:hint="default"/>
          <w:sz w:val="26"/>
          <w:szCs w:val="26"/>
          <w:lang w:val="ru-RU"/>
        </w:rPr>
        <w:t xml:space="preserve"> отдела учета и отчетности</w:t>
      </w:r>
      <w:r>
        <w:rPr>
          <w:sz w:val="26"/>
          <w:szCs w:val="26"/>
        </w:rPr>
        <w:t xml:space="preserve"> администрации </w:t>
      </w:r>
      <w:r>
        <w:rPr>
          <w:sz w:val="26"/>
          <w:szCs w:val="26"/>
          <w:lang w:val="ru-RU"/>
        </w:rPr>
        <w:t>Тимижевой</w:t>
      </w:r>
      <w:r>
        <w:rPr>
          <w:rFonts w:hint="default"/>
          <w:sz w:val="26"/>
          <w:szCs w:val="26"/>
          <w:lang w:val="ru-RU"/>
        </w:rPr>
        <w:t xml:space="preserve"> К.Х</w:t>
      </w:r>
      <w:r>
        <w:rPr>
          <w:sz w:val="26"/>
          <w:szCs w:val="26"/>
        </w:rPr>
        <w:t xml:space="preserve">. обеспечить разработку проекта бюджета сельского поселения </w:t>
      </w:r>
      <w:r>
        <w:rPr>
          <w:sz w:val="26"/>
          <w:szCs w:val="26"/>
          <w:lang w:val="ru-RU"/>
        </w:rPr>
        <w:t>Кахун</w:t>
      </w:r>
      <w:r>
        <w:rPr>
          <w:sz w:val="26"/>
          <w:szCs w:val="26"/>
        </w:rPr>
        <w:t xml:space="preserve"> на 2026 и  плановый период 2027-2028 годов.</w:t>
      </w:r>
    </w:p>
    <w:p w14:paraId="4B05F333">
      <w:pPr>
        <w:ind w:firstLine="540"/>
        <w:rPr>
          <w:sz w:val="26"/>
          <w:szCs w:val="26"/>
        </w:rPr>
      </w:pPr>
    </w:p>
    <w:p w14:paraId="63859548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2. Обнародовать настоящее постановление в установленном законом порядке.</w:t>
      </w:r>
    </w:p>
    <w:p w14:paraId="19D58581">
      <w:pPr>
        <w:rPr>
          <w:sz w:val="26"/>
          <w:szCs w:val="26"/>
        </w:rPr>
      </w:pPr>
    </w:p>
    <w:p w14:paraId="4D3D44F4">
      <w:pPr>
        <w:rPr>
          <w:sz w:val="26"/>
          <w:szCs w:val="26"/>
        </w:rPr>
      </w:pPr>
      <w:r>
        <w:rPr>
          <w:sz w:val="26"/>
          <w:szCs w:val="26"/>
        </w:rPr>
        <w:t xml:space="preserve">  3. Контроль  за исполнением настоящего постановления оставить за собой.</w:t>
      </w:r>
    </w:p>
    <w:p w14:paraId="6C861656">
      <w:pPr>
        <w:rPr>
          <w:sz w:val="26"/>
          <w:szCs w:val="26"/>
        </w:rPr>
      </w:pPr>
    </w:p>
    <w:p w14:paraId="7E8AD0B7">
      <w:pPr>
        <w:rPr>
          <w:sz w:val="26"/>
          <w:szCs w:val="26"/>
        </w:rPr>
      </w:pPr>
    </w:p>
    <w:p w14:paraId="27868E5D">
      <w:pPr>
        <w:rPr>
          <w:sz w:val="26"/>
          <w:szCs w:val="26"/>
        </w:rPr>
      </w:pPr>
    </w:p>
    <w:p w14:paraId="38FCA9AE">
      <w:pPr>
        <w:ind w:left="0" w:leftChars="0" w:firstLine="0" w:firstLineChars="0"/>
        <w:rPr>
          <w:rFonts w:hint="default"/>
          <w:b w:val="0"/>
          <w:bCs w:val="0"/>
          <w:sz w:val="26"/>
          <w:szCs w:val="26"/>
          <w:lang w:val="ru-RU"/>
        </w:rPr>
      </w:pPr>
      <w:r>
        <w:rPr>
          <w:b w:val="0"/>
          <w:bCs w:val="0"/>
          <w:sz w:val="26"/>
          <w:szCs w:val="26"/>
        </w:rPr>
        <w:t xml:space="preserve">  Глава администрации с. п. </w:t>
      </w:r>
      <w:r>
        <w:rPr>
          <w:b w:val="0"/>
          <w:bCs w:val="0"/>
          <w:sz w:val="26"/>
          <w:szCs w:val="26"/>
          <w:lang w:val="ru-RU"/>
        </w:rPr>
        <w:t>Кахун</w:t>
      </w:r>
      <w:r>
        <w:rPr>
          <w:b w:val="0"/>
          <w:bCs w:val="0"/>
          <w:sz w:val="26"/>
          <w:szCs w:val="26"/>
        </w:rPr>
        <w:t xml:space="preserve">                                  </w:t>
      </w:r>
      <w:r>
        <w:rPr>
          <w:rFonts w:hint="default"/>
          <w:b w:val="0"/>
          <w:bCs w:val="0"/>
          <w:sz w:val="26"/>
          <w:szCs w:val="26"/>
          <w:lang w:val="ru-RU"/>
        </w:rPr>
        <w:t xml:space="preserve">                         </w:t>
      </w:r>
      <w:r>
        <w:rPr>
          <w:b w:val="0"/>
          <w:bCs w:val="0"/>
          <w:sz w:val="26"/>
          <w:szCs w:val="26"/>
          <w:lang w:val="ru-RU"/>
        </w:rPr>
        <w:t>Л</w:t>
      </w:r>
      <w:r>
        <w:rPr>
          <w:rFonts w:hint="default"/>
          <w:b w:val="0"/>
          <w:bCs w:val="0"/>
          <w:sz w:val="26"/>
          <w:szCs w:val="26"/>
          <w:lang w:val="ru-RU"/>
        </w:rPr>
        <w:t>.М. Кандохов</w:t>
      </w:r>
    </w:p>
    <w:p w14:paraId="082581C6">
      <w:pPr>
        <w:rPr>
          <w:b/>
        </w:rPr>
      </w:pPr>
      <w:r>
        <w:rPr>
          <w:b/>
          <w:sz w:val="26"/>
          <w:szCs w:val="26"/>
        </w:rPr>
        <w:t xml:space="preserve">            </w:t>
      </w:r>
    </w:p>
    <w:p w14:paraId="39280CB5">
      <w:pPr>
        <w:jc w:val="center"/>
        <w:rPr>
          <w:b/>
        </w:rPr>
      </w:pPr>
    </w:p>
    <w:p w14:paraId="43D87234">
      <w:pPr>
        <w:jc w:val="right"/>
        <w:rPr>
          <w:b/>
        </w:rPr>
      </w:pPr>
    </w:p>
    <w:p w14:paraId="6B10E9D0">
      <w:pPr>
        <w:jc w:val="right"/>
        <w:rPr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  <w:lang w:val="ru-RU"/>
        </w:rPr>
        <w:t xml:space="preserve">                                                           </w:t>
      </w:r>
      <w:r>
        <w:rPr>
          <w:b w:val="0"/>
          <w:bCs/>
          <w:sz w:val="24"/>
          <w:szCs w:val="24"/>
        </w:rPr>
        <w:t xml:space="preserve">Приложение </w:t>
      </w:r>
    </w:p>
    <w:p w14:paraId="414168C8">
      <w:pPr>
        <w:jc w:val="righ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к постановлению главы администрации</w:t>
      </w:r>
    </w:p>
    <w:p w14:paraId="335D5208">
      <w:pPr>
        <w:jc w:val="right"/>
        <w:rPr>
          <w:rFonts w:hint="default"/>
          <w:b w:val="0"/>
          <w:bCs/>
          <w:sz w:val="24"/>
          <w:szCs w:val="24"/>
          <w:lang w:val="ru-RU"/>
        </w:rPr>
      </w:pPr>
      <w:r>
        <w:rPr>
          <w:b w:val="0"/>
          <w:bCs/>
          <w:sz w:val="24"/>
          <w:szCs w:val="24"/>
          <w:lang w:val="ru-RU"/>
        </w:rPr>
        <w:t>о</w:t>
      </w:r>
      <w:r>
        <w:rPr>
          <w:b w:val="0"/>
          <w:bCs/>
          <w:sz w:val="24"/>
          <w:szCs w:val="24"/>
        </w:rPr>
        <w:t xml:space="preserve">т  </w:t>
      </w:r>
      <w:r>
        <w:rPr>
          <w:rFonts w:hint="default"/>
          <w:b w:val="0"/>
          <w:bCs/>
          <w:sz w:val="24"/>
          <w:szCs w:val="24"/>
          <w:lang w:val="ru-RU"/>
        </w:rPr>
        <w:t>22</w:t>
      </w:r>
      <w:r>
        <w:rPr>
          <w:b w:val="0"/>
          <w:bCs/>
          <w:sz w:val="24"/>
          <w:szCs w:val="24"/>
        </w:rPr>
        <w:t>.0</w:t>
      </w:r>
      <w:r>
        <w:rPr>
          <w:rFonts w:hint="default"/>
          <w:b w:val="0"/>
          <w:bCs/>
          <w:sz w:val="24"/>
          <w:szCs w:val="24"/>
          <w:lang w:val="ru-RU"/>
        </w:rPr>
        <w:t>4</w:t>
      </w:r>
      <w:r>
        <w:rPr>
          <w:b w:val="0"/>
          <w:bCs/>
          <w:sz w:val="24"/>
          <w:szCs w:val="24"/>
        </w:rPr>
        <w:t>.202</w:t>
      </w:r>
      <w:r>
        <w:rPr>
          <w:rFonts w:hint="default"/>
          <w:b w:val="0"/>
          <w:bCs/>
          <w:sz w:val="24"/>
          <w:szCs w:val="24"/>
          <w:lang w:val="ru-RU"/>
        </w:rPr>
        <w:t>6</w:t>
      </w:r>
      <w:r>
        <w:rPr>
          <w:b w:val="0"/>
          <w:bCs/>
          <w:sz w:val="24"/>
          <w:szCs w:val="24"/>
        </w:rPr>
        <w:t xml:space="preserve"> г. №2</w:t>
      </w:r>
      <w:r>
        <w:rPr>
          <w:rFonts w:hint="default"/>
          <w:b w:val="0"/>
          <w:bCs/>
          <w:sz w:val="24"/>
          <w:szCs w:val="24"/>
          <w:lang w:val="ru-RU"/>
        </w:rPr>
        <w:t>5</w:t>
      </w:r>
    </w:p>
    <w:p w14:paraId="43609EA2">
      <w:pPr>
        <w:jc w:val="center"/>
        <w:rPr>
          <w:b/>
        </w:rPr>
      </w:pPr>
    </w:p>
    <w:p w14:paraId="26BA6D0B">
      <w:pPr>
        <w:jc w:val="center"/>
        <w:rPr>
          <w:b w:val="0"/>
          <w:bCs/>
        </w:rPr>
      </w:pPr>
      <w:r>
        <w:rPr>
          <w:b w:val="0"/>
          <w:bCs/>
        </w:rPr>
        <w:t xml:space="preserve">Основные направления бюджетной и налоговой политики </w:t>
      </w:r>
    </w:p>
    <w:p w14:paraId="487708FE">
      <w:pPr>
        <w:jc w:val="center"/>
        <w:rPr>
          <w:b w:val="0"/>
          <w:bCs/>
        </w:rPr>
      </w:pPr>
      <w:r>
        <w:rPr>
          <w:b w:val="0"/>
          <w:bCs/>
        </w:rPr>
        <w:t xml:space="preserve">сельского поселения </w:t>
      </w:r>
      <w:r>
        <w:rPr>
          <w:b w:val="0"/>
          <w:bCs/>
          <w:lang w:val="ru-RU"/>
        </w:rPr>
        <w:t>Кахун</w:t>
      </w:r>
      <w:r>
        <w:rPr>
          <w:b w:val="0"/>
          <w:bCs/>
        </w:rPr>
        <w:t xml:space="preserve"> Урванского муниципального района на 2026 год и на плановый период 2027 и 2028 годов</w:t>
      </w:r>
    </w:p>
    <w:p w14:paraId="1D2397B0">
      <w:pPr>
        <w:jc w:val="center"/>
        <w:rPr>
          <w:b/>
        </w:rPr>
      </w:pPr>
    </w:p>
    <w:p w14:paraId="075D3752">
      <w:pPr>
        <w:pStyle w:val="15"/>
        <w:numPr>
          <w:ilvl w:val="0"/>
          <w:numId w:val="2"/>
        </w:numPr>
        <w:autoSpaceDE w:val="0"/>
        <w:autoSpaceDN w:val="0"/>
        <w:adjustRightInd w:val="0"/>
        <w:jc w:val="center"/>
        <w:outlineLvl w:val="1"/>
      </w:pPr>
      <w:r>
        <w:t>Общие положения</w:t>
      </w:r>
    </w:p>
    <w:p w14:paraId="59B584D0">
      <w:pPr>
        <w:pStyle w:val="15"/>
        <w:autoSpaceDE w:val="0"/>
        <w:autoSpaceDN w:val="0"/>
        <w:adjustRightInd w:val="0"/>
        <w:ind w:left="1069" w:firstLine="0"/>
        <w:outlineLvl w:val="1"/>
      </w:pPr>
    </w:p>
    <w:p w14:paraId="1F3AA9AE">
      <w:r>
        <w:t xml:space="preserve">Основные направления бюджетной и налоговой политики на 2026 год и на плановый период 2027 и 2028 годов (далее - основные направления бюджетной политики) подготовлены в соответствии с требованиями Бюджетного кодекса Российской Федерации, статьей 14 Федерального Закона от 06.10.2003 № 131ФЗ «Об общих принципах организации местного самоуправления в Российской Федерации», Закона Кабардино-Балкарской Республики от 07.02.2011 г. №11-РЗ «О бюджетном устройстве и бюджетном процессе в Кабардино-Балкарской Республике» и Положения «О бюджетном устройстве и бюджетном процессе в сельском поселении </w:t>
      </w:r>
      <w:r>
        <w:rPr>
          <w:lang w:val="ru-RU"/>
        </w:rPr>
        <w:t>Кахун</w:t>
      </w:r>
      <w:r>
        <w:t>». При подготовке учитывались положения следующих документов:</w:t>
      </w:r>
    </w:p>
    <w:p w14:paraId="3B7AC78B">
      <w:r>
        <w:t>- Основных направлений бюджетной и налоговой политики Российской Федерации на 2026 год и на плановый период 2027 и 2028 годов;</w:t>
      </w:r>
    </w:p>
    <w:p w14:paraId="48339D2F">
      <w:r>
        <w:t xml:space="preserve">Основные направления бюджетной политики на 2026 год и на плановый период 2027 и 2028 годов) определяют стратегию действий в части доходов и расходов бюджета. </w:t>
      </w:r>
    </w:p>
    <w:p w14:paraId="1EBBA475">
      <w:r>
        <w:t xml:space="preserve">Основная цель бюджетной политики - определение </w:t>
      </w:r>
      <w:r>
        <w:rPr>
          <w:rFonts w:eastAsia="Times New Roman"/>
          <w:lang w:eastAsia="ru-RU"/>
        </w:rPr>
        <w:t>общего порядка разработки основных характеристик и прогнозируемых параметров бюджета поселения, а также обеспечение прозрачности и открытости бюджетного планирования.</w:t>
      </w:r>
    </w:p>
    <w:p w14:paraId="26A1B04E">
      <w:r>
        <w:t>Задача основных направлений бюджетной политики - эффективное решение задач развития в соответствии с приоритетами социально-экономического развития в условиях ограниченности бюджетных ресурсов.</w:t>
      </w:r>
    </w:p>
    <w:p w14:paraId="3E05220C">
      <w:r>
        <w:t>По годовому отчету об исполнении бюджета, по проекту бюджета сельского поселения на очередной финансовый год и на плановый период проводятся публичные слушания.</w:t>
      </w:r>
    </w:p>
    <w:p w14:paraId="7590B989">
      <w:pPr>
        <w:jc w:val="center"/>
      </w:pPr>
    </w:p>
    <w:p w14:paraId="5567F71D">
      <w:pPr>
        <w:ind w:left="0" w:leftChars="0" w:firstLine="0" w:firstLineChars="0"/>
        <w:jc w:val="center"/>
      </w:pPr>
      <w:r>
        <w:t xml:space="preserve">2. Основные направления бюджетной политики </w:t>
      </w:r>
    </w:p>
    <w:p w14:paraId="12D003FC">
      <w:pPr>
        <w:ind w:left="0" w:leftChars="0" w:firstLine="0" w:firstLineChars="0"/>
        <w:jc w:val="center"/>
      </w:pPr>
      <w:r>
        <w:t>на 2026 год и на плановый период 2027 и 2028 годов</w:t>
      </w:r>
    </w:p>
    <w:p w14:paraId="4130B036"/>
    <w:p w14:paraId="5F745B1B">
      <w:r>
        <w:t xml:space="preserve">Основной целью бюджетной политики на 2026 год и на плановый период 2027 и 2028 годов является сбалансированность бюджета, устойчивость бюджетной системы и исполнение принятых обязательств. Цели и задачи бюджетной политики сельского поселения </w:t>
      </w:r>
      <w:r>
        <w:rPr>
          <w:lang w:val="ru-RU"/>
        </w:rPr>
        <w:t>Кахун</w:t>
      </w:r>
      <w:r>
        <w:t xml:space="preserve"> на 2026 год и на плановые 2027 и 2028 годов, среднесрочную перспективу определены исходя из оценки доходного потенциала поселения, необходимости сдерживания роста бюджетных расходов и четкого определения приоритетов использования ограниченных финансовых ресурсов. </w:t>
      </w:r>
    </w:p>
    <w:p w14:paraId="5BCCE41D">
      <w:pPr>
        <w:rPr>
          <w:rFonts w:hint="default"/>
          <w:lang w:val="ru-RU"/>
        </w:rPr>
      </w:pPr>
      <w:r>
        <w:t xml:space="preserve">Бюджетная политика сельского поселения должна быть направлена на создание предпосылок для устойчивого социально–экономического развития сельского поселения </w:t>
      </w:r>
      <w:r>
        <w:rPr>
          <w:lang w:val="ru-RU"/>
        </w:rPr>
        <w:t>Кахун</w:t>
      </w:r>
    </w:p>
    <w:p w14:paraId="0AE91D2C">
      <w:r>
        <w:t>. Для этого необходимо сформировать и реализовать предсказуемую и ответственную бюджетную политику, нацеленную на обеспечение:</w:t>
      </w:r>
    </w:p>
    <w:p w14:paraId="723A67DE">
      <w:pPr>
        <w:numPr>
          <w:ilvl w:val="0"/>
          <w:numId w:val="3"/>
        </w:numPr>
        <w:ind w:left="0" w:firstLine="567"/>
      </w:pPr>
      <w:r>
        <w:t>максимально эффективного использования имеющихся финансовых ресурсов,</w:t>
      </w:r>
    </w:p>
    <w:p w14:paraId="0E63AD04">
      <w:pPr>
        <w:numPr>
          <w:ilvl w:val="0"/>
          <w:numId w:val="3"/>
        </w:numPr>
        <w:ind w:left="0" w:firstLine="567"/>
      </w:pPr>
      <w:r>
        <w:t>повышения качества оказываемых муниципальных услуг с учетом изменений в правовом положении муниципальных учреждений, что позволит уйти от финансирования только за сам факт существования бюджетного учреждения, вне зависимости от результатов его работы.</w:t>
      </w:r>
    </w:p>
    <w:p w14:paraId="6049EE5A">
      <w:r>
        <w:t>В связи с тем, что бюджетное планирование в ближайшие годы должно базироваться на консервативных оценках прогноза социально–экономического развития, 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</w:p>
    <w:p w14:paraId="37E366B9">
      <w:r>
        <w:t>Главному распорядителю бюджетных средств необходимо четко определить приоритеты и цели использования бюджетных средств, путем проведения инвентаризации бюджетных расходов в целях исключения необязательных в условиях экономической ситуации затрат, необходимо проанализировать составляющие основных статей расходов бюджета. При принятии решений о расходовании бюджетных средств должен быть ясно определен ожидаемый эффект и установлены индикаторы, позволяющие отслеживать его достижение.</w:t>
      </w:r>
    </w:p>
    <w:p w14:paraId="4AC39D8B">
      <w:r>
        <w:t>Необходимо усилить ответственность участников бюджетного процесса за достоверность финансово–экономических обоснований при принятии новых расходных обязательств, за экономное расходование бюджетных средств и результативность бюджетных расходов.</w:t>
      </w:r>
    </w:p>
    <w:p w14:paraId="0A75210E">
      <w:r>
        <w:t>В связи с существующей диспропорцией роста доходов и расходов бюджета поселения, в среднесрочном периоде сохранятся бюджетные ограничения при формировании политики в области расходов бюджета поселения.</w:t>
      </w:r>
    </w:p>
    <w:p w14:paraId="73424991">
      <w:r>
        <w:t>С целью обеспечения долгосрочной сбалансированности бюджета  сельского поселения, повышения уровня и качества жизни населения, эффективного предоставления услуг, стимулирования инвестиционного развития поселения, бюджетная политика будет направлена на решение следующих задач:</w:t>
      </w:r>
    </w:p>
    <w:p w14:paraId="614752A3">
      <w:pPr>
        <w:numPr>
          <w:ilvl w:val="0"/>
          <w:numId w:val="4"/>
        </w:numPr>
        <w:ind w:left="0" w:firstLine="567"/>
      </w:pPr>
      <w:r>
        <w:t>Обеспечение социальной стабильности в поселении, при этом приоритетным направлением расходов будут считаться:</w:t>
      </w:r>
    </w:p>
    <w:p w14:paraId="1DA9727A">
      <w:pPr>
        <w:numPr>
          <w:ilvl w:val="0"/>
          <w:numId w:val="5"/>
        </w:numPr>
        <w:ind w:left="0" w:firstLine="567"/>
      </w:pPr>
      <w:r>
        <w:t>расходы на оплату труда;</w:t>
      </w:r>
    </w:p>
    <w:p w14:paraId="42EF06E4">
      <w:pPr>
        <w:numPr>
          <w:ilvl w:val="0"/>
          <w:numId w:val="5"/>
        </w:numPr>
        <w:ind w:left="0" w:firstLine="567"/>
      </w:pPr>
      <w:r>
        <w:t>расходы на начисления по оплате труда;</w:t>
      </w:r>
    </w:p>
    <w:p w14:paraId="615E0F82">
      <w:pPr>
        <w:numPr>
          <w:ilvl w:val="0"/>
          <w:numId w:val="5"/>
        </w:numPr>
        <w:ind w:left="0" w:firstLine="567"/>
      </w:pPr>
      <w:r>
        <w:t>расходы на оплату коммунальных услуг;</w:t>
      </w:r>
    </w:p>
    <w:p w14:paraId="41C562B0">
      <w:pPr>
        <w:numPr>
          <w:ilvl w:val="0"/>
          <w:numId w:val="5"/>
        </w:numPr>
        <w:ind w:left="0" w:firstLine="567"/>
      </w:pPr>
      <w:r>
        <w:t>расходы на мероприятия по подготовке к отопительному сезону администрации;</w:t>
      </w:r>
    </w:p>
    <w:p w14:paraId="1D06DAE9">
      <w:pPr>
        <w:numPr>
          <w:ilvl w:val="0"/>
          <w:numId w:val="5"/>
        </w:numPr>
        <w:ind w:left="0" w:firstLine="567"/>
      </w:pPr>
      <w:r>
        <w:t>расходы на реализацию программ.</w:t>
      </w:r>
    </w:p>
    <w:p w14:paraId="5ED2645E">
      <w:pPr>
        <w:numPr>
          <w:ilvl w:val="0"/>
          <w:numId w:val="4"/>
        </w:numPr>
        <w:ind w:left="0" w:firstLine="567"/>
      </w:pPr>
      <w:r>
        <w:t>Продолжение работы по оптимизации и повышению эффективности бюджетных расходов путем усиления предварительного, текущего и последующего контроля за целевым и эффективным использованием бюджетных средств, а также путем принятия реальных мер по энергосбережению и повышению энергетической эффективности; соблюдения ответственного подхода к принятию новых расходных обязательств с учетом их социально-экономической значимости; участия исходя из возможностей бюджета поселения в реализации программ и мероприятий, софинансируемых  из федерального и республиканского бюджетов.</w:t>
      </w:r>
    </w:p>
    <w:p w14:paraId="475EAFE2">
      <w:pPr>
        <w:numPr>
          <w:ilvl w:val="0"/>
          <w:numId w:val="4"/>
        </w:numPr>
        <w:ind w:left="0" w:firstLine="567"/>
      </w:pPr>
      <w:r>
        <w:t>Формирование бюджета на основе муниципальных заданий, включающих действующие и вновь принимаемые расходные обязательства с учетом их приоритетности и сопоставления ожидаемых результатов с реальными возможностями.</w:t>
      </w:r>
    </w:p>
    <w:p w14:paraId="0934B956">
      <w:pPr>
        <w:numPr>
          <w:ilvl w:val="0"/>
          <w:numId w:val="4"/>
        </w:numPr>
        <w:ind w:left="0" w:firstLine="567"/>
      </w:pPr>
      <w:r>
        <w:t>Проведение анализа деятельности учреждений поселения с целью выработки предложений по их оптимизации (изменение типа, создание новых учреждений, реорганизация, ликвидация).</w:t>
      </w:r>
    </w:p>
    <w:p w14:paraId="59046418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Конечной целью бюджетной политики является создание условий для устойчивого повышения уровня жизни граждан, их всестороннего развития, защиту их безопасности, обеспечение социальных гарантий.</w:t>
      </w:r>
    </w:p>
    <w:p w14:paraId="51F85C57">
      <w:r>
        <w:t>Основными задачами бюджетной политики на очередной бюджетный период являются:</w:t>
      </w:r>
    </w:p>
    <w:p w14:paraId="3A3FD794">
      <w:r>
        <w:t>Обеспечение расходных обязательств источниками финансирования;</w:t>
      </w:r>
    </w:p>
    <w:p w14:paraId="0BCFBC3E">
      <w:r>
        <w:t xml:space="preserve"> Повышение обоснованности бюджетных ассигнований на этапе их формирования;</w:t>
      </w:r>
    </w:p>
    <w:p w14:paraId="15D11DE1">
      <w:pPr>
        <w:jc w:val="left"/>
      </w:pPr>
      <w:r>
        <w:t>Обеспечение бюджетной устойчивости и экономической стабильности;</w:t>
      </w:r>
    </w:p>
    <w:p w14:paraId="08A82747">
      <w:r>
        <w:t>Прозрачность и открытость бюджета и бюджетного процесса для общества.</w:t>
      </w:r>
    </w:p>
    <w:p w14:paraId="54FDDCBD"/>
    <w:p w14:paraId="429143E3">
      <w:pPr>
        <w:ind w:left="0" w:leftChars="0" w:firstLine="0" w:firstLineChars="0"/>
        <w:jc w:val="center"/>
        <w:rPr>
          <w:b w:val="0"/>
          <w:bCs/>
        </w:rPr>
      </w:pPr>
      <w:r>
        <w:rPr>
          <w:b w:val="0"/>
          <w:bCs/>
        </w:rPr>
        <w:t>Обеспечение бюджетной устойчивости  и экономической стабильности</w:t>
      </w:r>
    </w:p>
    <w:p w14:paraId="45E1B5DB">
      <w:pPr>
        <w:rPr>
          <w:b w:val="0"/>
          <w:bCs/>
        </w:rPr>
      </w:pPr>
    </w:p>
    <w:p w14:paraId="0BAE1D33">
      <w:pPr>
        <w:numPr>
          <w:ilvl w:val="0"/>
          <w:numId w:val="6"/>
        </w:numPr>
        <w:ind w:left="0" w:firstLine="567"/>
      </w:pPr>
      <w:r>
        <w:t xml:space="preserve">Планируемый дефицит местного бюджета сельского поселения </w:t>
      </w:r>
      <w:r>
        <w:rPr>
          <w:lang w:val="ru-RU"/>
        </w:rPr>
        <w:t>Кахун</w:t>
      </w:r>
      <w:r>
        <w:t xml:space="preserve"> на 2026 и на плановый период 2027 и 2028 годов не может превышать 0% объема доходов бюджета поселения. </w:t>
      </w:r>
    </w:p>
    <w:p w14:paraId="27E5E183">
      <w:pPr>
        <w:numPr>
          <w:ilvl w:val="0"/>
          <w:numId w:val="6"/>
        </w:numPr>
        <w:ind w:left="0" w:firstLine="567"/>
      </w:pPr>
      <w:r>
        <w:t>Данная задача включает в себя несколько составляющих:</w:t>
      </w:r>
    </w:p>
    <w:p w14:paraId="53ADC9E6">
      <w:r>
        <w:t xml:space="preserve">Ограничение роста  расходов местного бюджета не обеспеченных стабильными доходными источниками. Принятие новых расходных обязательств  должно в обязательном порядке  основываться на оценке прогнозируемых доходов  </w:t>
      </w:r>
    </w:p>
    <w:p w14:paraId="7036DD42">
      <w:r>
        <w:t>местного бюджета;</w:t>
      </w:r>
    </w:p>
    <w:p w14:paraId="4F98C002">
      <w:r>
        <w:t xml:space="preserve">В рамках решения данной задачи будет продолжена  работа по созданию стимулов для более рационального и экономного использования бюджетных средств сокращению доли неэффективных расходов.  </w:t>
      </w:r>
    </w:p>
    <w:p w14:paraId="5941D63D">
      <w:r>
        <w:t>3. Прозрачность и открытость бюджета и бюджетного процесса для общества.</w:t>
      </w:r>
    </w:p>
    <w:p w14:paraId="1EA37343">
      <w:r>
        <w:t>Бюджетная политика осуществляется в интересах общества. Успех ее реализации зависит не только от действий тех или иных органов власти, но и от того, в какой мере общество понимает эту политику, разделяет цели, механизмы и принципы ее реализации.</w:t>
      </w:r>
    </w:p>
    <w:p w14:paraId="575B5687">
      <w:r>
        <w:t>Принцип прозрачности и открытости будет подкреплен новыми практиками его реализации, в полном объеме будут проведены процессы по открытию бюджетных процедур, в числе которых:</w:t>
      </w:r>
    </w:p>
    <w:p w14:paraId="6B31ADA1">
      <w:r>
        <w:t xml:space="preserve"> -регулярная разработка и совершенствование «Бюджета для граждан»;</w:t>
      </w:r>
    </w:p>
    <w:p w14:paraId="1FCCC44D">
      <w:r>
        <w:t xml:space="preserve"> - соблюдение сроков и процедур подключения уполномоченных органов к государственной интегрированной информационной системе управления общественными финансами «Электронный бюджет». Это основной ресурс информации о государственных финансах.</w:t>
      </w:r>
    </w:p>
    <w:p w14:paraId="2041A05B"/>
    <w:p w14:paraId="22105527">
      <w:pPr>
        <w:ind w:firstLine="0"/>
        <w:jc w:val="left"/>
      </w:pPr>
    </w:p>
    <w:p w14:paraId="6A11A6E1">
      <w:pPr>
        <w:keepNext/>
        <w:widowControl w:val="0"/>
        <w:jc w:val="center"/>
      </w:pPr>
      <w:r>
        <w:t>3. Основные направления налоговой политики</w:t>
      </w:r>
    </w:p>
    <w:p w14:paraId="16336D4B">
      <w:pPr>
        <w:keepNext/>
        <w:widowControl w:val="0"/>
        <w:jc w:val="center"/>
        <w:rPr>
          <w:bCs/>
          <w:kern w:val="32"/>
        </w:rPr>
      </w:pPr>
      <w:r>
        <w:rPr>
          <w:bCs/>
          <w:kern w:val="32"/>
        </w:rPr>
        <w:t>в 2026 году и плановом периоде 2027 и 2028 годов</w:t>
      </w:r>
    </w:p>
    <w:p w14:paraId="5228D1A2">
      <w:r>
        <w:t>Налоговая политика в поселении будет формироваться с учетом изменений, принятых и планируемых к принятию на федеральном и региональном уровне, основным из которых является введение налога на недвижимость.</w:t>
      </w:r>
    </w:p>
    <w:p w14:paraId="58FFA080">
      <w:pPr>
        <w:keepNext/>
        <w:widowControl w:val="0"/>
        <w:rPr>
          <w:rFonts w:eastAsia="Arial"/>
          <w:bCs/>
          <w:kern w:val="32"/>
        </w:rPr>
      </w:pPr>
      <w:r>
        <w:rPr>
          <w:rFonts w:eastAsia="Arial"/>
          <w:bCs/>
          <w:kern w:val="32"/>
        </w:rPr>
        <w:t>Основные цели налоговой политики:</w:t>
      </w:r>
    </w:p>
    <w:p w14:paraId="12E9A1F9">
      <w:pPr>
        <w:pStyle w:val="15"/>
        <w:keepNext/>
        <w:widowControl w:val="0"/>
        <w:ind w:left="0"/>
        <w:outlineLvl w:val="0"/>
        <w:rPr>
          <w:rFonts w:eastAsia="Arial"/>
          <w:bCs/>
          <w:kern w:val="32"/>
        </w:rPr>
      </w:pPr>
      <w:r>
        <w:rPr>
          <w:rFonts w:eastAsia="Arial"/>
          <w:bCs/>
          <w:kern w:val="32"/>
        </w:rPr>
        <w:t xml:space="preserve">Увеличение налогового потенциала; </w:t>
      </w:r>
    </w:p>
    <w:p w14:paraId="2688050D">
      <w:pPr>
        <w:pStyle w:val="15"/>
        <w:keepNext/>
        <w:widowControl w:val="0"/>
        <w:ind w:left="0"/>
        <w:outlineLvl w:val="0"/>
        <w:rPr>
          <w:rFonts w:eastAsia="Arial"/>
          <w:bCs/>
          <w:kern w:val="32"/>
        </w:rPr>
      </w:pPr>
      <w:r>
        <w:rPr>
          <w:rFonts w:eastAsia="Arial"/>
          <w:bCs/>
          <w:kern w:val="32"/>
        </w:rPr>
        <w:t>Повышение эффективности управления муниципальным имуществом  и увеличение доходов от его использования;</w:t>
      </w:r>
    </w:p>
    <w:p w14:paraId="491899B1">
      <w:pPr>
        <w:pStyle w:val="15"/>
        <w:keepNext/>
        <w:widowControl w:val="0"/>
        <w:ind w:left="0"/>
        <w:outlineLvl w:val="0"/>
        <w:rPr>
          <w:rFonts w:eastAsia="Arial"/>
          <w:bCs/>
          <w:kern w:val="32"/>
        </w:rPr>
      </w:pPr>
      <w:r>
        <w:rPr>
          <w:rFonts w:eastAsia="Arial"/>
          <w:bCs/>
          <w:kern w:val="32"/>
        </w:rPr>
        <w:t>Усиление мер по укреплению налоговой дисциплины налогоплательщиков.</w:t>
      </w:r>
    </w:p>
    <w:p w14:paraId="0C87786E">
      <w:pPr>
        <w:pStyle w:val="15"/>
        <w:keepNext/>
        <w:widowControl w:val="0"/>
        <w:ind w:left="0"/>
        <w:outlineLvl w:val="0"/>
        <w:rPr>
          <w:rFonts w:eastAsia="Arial"/>
          <w:bCs/>
          <w:kern w:val="32"/>
        </w:rPr>
      </w:pPr>
      <w:r>
        <w:rPr>
          <w:rFonts w:eastAsia="Arial"/>
          <w:bCs/>
          <w:kern w:val="32"/>
        </w:rPr>
        <w:t>В целях повышения качества администрирования налоговых и неналоговых доходов бюджета в 2026 – 2028 годах будут приняты меры по увеличению собираемости платежей в бюджет с физических лиц.</w:t>
      </w:r>
    </w:p>
    <w:p w14:paraId="68B9A004"/>
    <w:p w14:paraId="3391C5D4"/>
    <w:sectPr>
      <w:headerReference r:id="rId3" w:type="default"/>
      <w:footerReference r:id="rId4" w:type="default"/>
      <w:pgSz w:w="11905" w:h="16838"/>
      <w:pgMar w:top="1134" w:right="850" w:bottom="1134" w:left="1701" w:header="720" w:footer="720" w:gutter="0"/>
      <w:cols w:space="708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plified Arabic">
    <w:altName w:val="Times New Roman"/>
    <w:panose1 w:val="00000000000000000000"/>
    <w:charset w:val="00"/>
    <w:family w:val="roman"/>
    <w:pitch w:val="default"/>
    <w:sig w:usb0="00000000" w:usb1="00000000" w:usb2="00000000" w:usb3="00000000" w:csb0="0000004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9945149"/>
    </w:sdtPr>
    <w:sdtContent>
      <w:p w14:paraId="5569F8C3"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3E52442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D00ED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D69E8"/>
    <w:multiLevelType w:val="multilevel"/>
    <w:tmpl w:val="09FD69E8"/>
    <w:lvl w:ilvl="0" w:tentative="0">
      <w:start w:val="1"/>
      <w:numFmt w:val="decimal"/>
      <w:suff w:val="space"/>
      <w:lvlText w:val="%1."/>
      <w:lvlJc w:val="left"/>
      <w:pPr>
        <w:ind w:left="1968" w:hanging="975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551094D"/>
    <w:multiLevelType w:val="multilevel"/>
    <w:tmpl w:val="1551094D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930C68"/>
    <w:multiLevelType w:val="multilevel"/>
    <w:tmpl w:val="4B930C68"/>
    <w:lvl w:ilvl="0" w:tentative="0">
      <w:start w:val="1"/>
      <w:numFmt w:val="decimal"/>
      <w:suff w:val="space"/>
      <w:lvlText w:val="%1."/>
      <w:lvlJc w:val="left"/>
      <w:pPr>
        <w:ind w:left="1954" w:hanging="1245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1156155"/>
    <w:multiLevelType w:val="multilevel"/>
    <w:tmpl w:val="51156155"/>
    <w:lvl w:ilvl="0" w:tentative="0">
      <w:start w:val="1"/>
      <w:numFmt w:val="bullet"/>
      <w:suff w:val="space"/>
      <w:lvlText w:val="-"/>
      <w:lvlJc w:val="left"/>
      <w:pPr>
        <w:ind w:left="6173" w:hanging="360"/>
      </w:pPr>
      <w:rPr>
        <w:rFonts w:hint="default" w:ascii="Simplified Arabic" w:hAnsi="Simplified Arabic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7F93E9E"/>
    <w:multiLevelType w:val="multilevel"/>
    <w:tmpl w:val="57F93E9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suff w:val="space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7B320320"/>
    <w:multiLevelType w:val="multilevel"/>
    <w:tmpl w:val="7B320320"/>
    <w:lvl w:ilvl="0" w:tentative="0">
      <w:start w:val="1"/>
      <w:numFmt w:val="bullet"/>
      <w:suff w:val="space"/>
      <w:lvlText w:val="-"/>
      <w:lvlJc w:val="left"/>
      <w:pPr>
        <w:ind w:left="1429" w:hanging="360"/>
      </w:pPr>
      <w:rPr>
        <w:rFonts w:hint="default" w:ascii="Simplified Arabic" w:hAnsi="Simplified Arabic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99"/>
    <w:rsid w:val="00013314"/>
    <w:rsid w:val="00043A36"/>
    <w:rsid w:val="00052E7B"/>
    <w:rsid w:val="000747BB"/>
    <w:rsid w:val="00082AB7"/>
    <w:rsid w:val="00091127"/>
    <w:rsid w:val="00093984"/>
    <w:rsid w:val="0009452F"/>
    <w:rsid w:val="000A0663"/>
    <w:rsid w:val="000A12DD"/>
    <w:rsid w:val="000A22C9"/>
    <w:rsid w:val="000A30A7"/>
    <w:rsid w:val="000C4845"/>
    <w:rsid w:val="000C66F4"/>
    <w:rsid w:val="000C772F"/>
    <w:rsid w:val="000D35AE"/>
    <w:rsid w:val="000D7541"/>
    <w:rsid w:val="000E21F4"/>
    <w:rsid w:val="000F49FA"/>
    <w:rsid w:val="000F5309"/>
    <w:rsid w:val="000F5FA5"/>
    <w:rsid w:val="001012AF"/>
    <w:rsid w:val="0013653C"/>
    <w:rsid w:val="001436EA"/>
    <w:rsid w:val="0016740F"/>
    <w:rsid w:val="0016792C"/>
    <w:rsid w:val="00176A63"/>
    <w:rsid w:val="0018055B"/>
    <w:rsid w:val="001810E1"/>
    <w:rsid w:val="00192B97"/>
    <w:rsid w:val="001A18A9"/>
    <w:rsid w:val="001A51AF"/>
    <w:rsid w:val="001B3C7C"/>
    <w:rsid w:val="001B5837"/>
    <w:rsid w:val="001C1F7F"/>
    <w:rsid w:val="001C3D95"/>
    <w:rsid w:val="001E2A8C"/>
    <w:rsid w:val="001F2394"/>
    <w:rsid w:val="001F3582"/>
    <w:rsid w:val="001F3CC2"/>
    <w:rsid w:val="001F3FEE"/>
    <w:rsid w:val="00220BF5"/>
    <w:rsid w:val="00225CCD"/>
    <w:rsid w:val="002376FC"/>
    <w:rsid w:val="002415B5"/>
    <w:rsid w:val="002431E1"/>
    <w:rsid w:val="002447F2"/>
    <w:rsid w:val="00271597"/>
    <w:rsid w:val="00280066"/>
    <w:rsid w:val="00285A88"/>
    <w:rsid w:val="002864B9"/>
    <w:rsid w:val="002871E9"/>
    <w:rsid w:val="00293CC4"/>
    <w:rsid w:val="00294C82"/>
    <w:rsid w:val="00295A00"/>
    <w:rsid w:val="002A3FE8"/>
    <w:rsid w:val="002A680C"/>
    <w:rsid w:val="002A7E53"/>
    <w:rsid w:val="002F54D4"/>
    <w:rsid w:val="00303E7A"/>
    <w:rsid w:val="003100E9"/>
    <w:rsid w:val="00310FD6"/>
    <w:rsid w:val="003421F9"/>
    <w:rsid w:val="00343946"/>
    <w:rsid w:val="0035462D"/>
    <w:rsid w:val="00355DC3"/>
    <w:rsid w:val="0037045B"/>
    <w:rsid w:val="00372BF4"/>
    <w:rsid w:val="00380C74"/>
    <w:rsid w:val="00395C41"/>
    <w:rsid w:val="003975F6"/>
    <w:rsid w:val="003D7EF9"/>
    <w:rsid w:val="003E430F"/>
    <w:rsid w:val="003F152B"/>
    <w:rsid w:val="003F3C82"/>
    <w:rsid w:val="004002CB"/>
    <w:rsid w:val="00400DE3"/>
    <w:rsid w:val="00401A3C"/>
    <w:rsid w:val="00407F1E"/>
    <w:rsid w:val="00415E5E"/>
    <w:rsid w:val="00416774"/>
    <w:rsid w:val="004358C1"/>
    <w:rsid w:val="004375D9"/>
    <w:rsid w:val="0043763C"/>
    <w:rsid w:val="00443765"/>
    <w:rsid w:val="00455A0F"/>
    <w:rsid w:val="00457F6D"/>
    <w:rsid w:val="00464C86"/>
    <w:rsid w:val="00474A50"/>
    <w:rsid w:val="0047579F"/>
    <w:rsid w:val="004762DA"/>
    <w:rsid w:val="0048204C"/>
    <w:rsid w:val="004874DF"/>
    <w:rsid w:val="004A19D2"/>
    <w:rsid w:val="004F0652"/>
    <w:rsid w:val="004F121F"/>
    <w:rsid w:val="00506241"/>
    <w:rsid w:val="00506F49"/>
    <w:rsid w:val="00520118"/>
    <w:rsid w:val="00521F1B"/>
    <w:rsid w:val="00541688"/>
    <w:rsid w:val="005448B9"/>
    <w:rsid w:val="005538C3"/>
    <w:rsid w:val="00556929"/>
    <w:rsid w:val="00561EDF"/>
    <w:rsid w:val="005650CB"/>
    <w:rsid w:val="005650CE"/>
    <w:rsid w:val="0058329B"/>
    <w:rsid w:val="00596DA3"/>
    <w:rsid w:val="005A0530"/>
    <w:rsid w:val="005B3FCC"/>
    <w:rsid w:val="005B6199"/>
    <w:rsid w:val="005C5F68"/>
    <w:rsid w:val="005C6023"/>
    <w:rsid w:val="005D3906"/>
    <w:rsid w:val="0060299C"/>
    <w:rsid w:val="00603FF8"/>
    <w:rsid w:val="0060663A"/>
    <w:rsid w:val="006076EA"/>
    <w:rsid w:val="00611961"/>
    <w:rsid w:val="00623CD3"/>
    <w:rsid w:val="00632D36"/>
    <w:rsid w:val="00651D8F"/>
    <w:rsid w:val="00652244"/>
    <w:rsid w:val="006614B7"/>
    <w:rsid w:val="0066751E"/>
    <w:rsid w:val="006804E9"/>
    <w:rsid w:val="006819E0"/>
    <w:rsid w:val="00684B72"/>
    <w:rsid w:val="00685EE2"/>
    <w:rsid w:val="006969E3"/>
    <w:rsid w:val="006B08DB"/>
    <w:rsid w:val="006B35AC"/>
    <w:rsid w:val="006B6A6B"/>
    <w:rsid w:val="006C039F"/>
    <w:rsid w:val="006C737D"/>
    <w:rsid w:val="006D0CA0"/>
    <w:rsid w:val="006E0EC9"/>
    <w:rsid w:val="007031D8"/>
    <w:rsid w:val="00703F8B"/>
    <w:rsid w:val="0071192C"/>
    <w:rsid w:val="007261B0"/>
    <w:rsid w:val="00730E90"/>
    <w:rsid w:val="00733D4A"/>
    <w:rsid w:val="00733DE8"/>
    <w:rsid w:val="0073606A"/>
    <w:rsid w:val="00740FB4"/>
    <w:rsid w:val="00741FEF"/>
    <w:rsid w:val="00771B2E"/>
    <w:rsid w:val="00777E6F"/>
    <w:rsid w:val="00780501"/>
    <w:rsid w:val="00794193"/>
    <w:rsid w:val="00795C44"/>
    <w:rsid w:val="007B21E4"/>
    <w:rsid w:val="007B2273"/>
    <w:rsid w:val="007B4917"/>
    <w:rsid w:val="007B53CA"/>
    <w:rsid w:val="007C1415"/>
    <w:rsid w:val="007C18AD"/>
    <w:rsid w:val="007D50CB"/>
    <w:rsid w:val="0080375F"/>
    <w:rsid w:val="00807A30"/>
    <w:rsid w:val="0082588C"/>
    <w:rsid w:val="008321ED"/>
    <w:rsid w:val="00832EBB"/>
    <w:rsid w:val="008343BC"/>
    <w:rsid w:val="008463CF"/>
    <w:rsid w:val="008711BD"/>
    <w:rsid w:val="0087449B"/>
    <w:rsid w:val="00874BC7"/>
    <w:rsid w:val="008937F0"/>
    <w:rsid w:val="00893837"/>
    <w:rsid w:val="008D02A4"/>
    <w:rsid w:val="008D04C2"/>
    <w:rsid w:val="008E23BD"/>
    <w:rsid w:val="008E44E4"/>
    <w:rsid w:val="008E7FF4"/>
    <w:rsid w:val="008F7B9A"/>
    <w:rsid w:val="009005ED"/>
    <w:rsid w:val="00920F63"/>
    <w:rsid w:val="009243C3"/>
    <w:rsid w:val="00925C2F"/>
    <w:rsid w:val="0095106A"/>
    <w:rsid w:val="00957FD6"/>
    <w:rsid w:val="00961806"/>
    <w:rsid w:val="0097279B"/>
    <w:rsid w:val="00972919"/>
    <w:rsid w:val="00980361"/>
    <w:rsid w:val="00983E8B"/>
    <w:rsid w:val="00991B1B"/>
    <w:rsid w:val="009A382A"/>
    <w:rsid w:val="009A7E16"/>
    <w:rsid w:val="009B2818"/>
    <w:rsid w:val="009B3B0F"/>
    <w:rsid w:val="009C7150"/>
    <w:rsid w:val="009E4E47"/>
    <w:rsid w:val="00A02887"/>
    <w:rsid w:val="00A12F21"/>
    <w:rsid w:val="00A13EA0"/>
    <w:rsid w:val="00A257B6"/>
    <w:rsid w:val="00A26890"/>
    <w:rsid w:val="00A318E3"/>
    <w:rsid w:val="00A34E38"/>
    <w:rsid w:val="00A452A0"/>
    <w:rsid w:val="00A61019"/>
    <w:rsid w:val="00A83469"/>
    <w:rsid w:val="00A84BA6"/>
    <w:rsid w:val="00A92509"/>
    <w:rsid w:val="00AA0999"/>
    <w:rsid w:val="00AA40C4"/>
    <w:rsid w:val="00AB0E89"/>
    <w:rsid w:val="00AC1DA3"/>
    <w:rsid w:val="00AD2272"/>
    <w:rsid w:val="00AE5B60"/>
    <w:rsid w:val="00AE5E86"/>
    <w:rsid w:val="00AF25F9"/>
    <w:rsid w:val="00AF74EA"/>
    <w:rsid w:val="00B04D7C"/>
    <w:rsid w:val="00B0504C"/>
    <w:rsid w:val="00B05C13"/>
    <w:rsid w:val="00B1346D"/>
    <w:rsid w:val="00B16B3E"/>
    <w:rsid w:val="00B512D2"/>
    <w:rsid w:val="00B539DF"/>
    <w:rsid w:val="00B70F47"/>
    <w:rsid w:val="00B753D1"/>
    <w:rsid w:val="00B7737D"/>
    <w:rsid w:val="00B87873"/>
    <w:rsid w:val="00B933AE"/>
    <w:rsid w:val="00B97581"/>
    <w:rsid w:val="00BA3EEC"/>
    <w:rsid w:val="00BA51D3"/>
    <w:rsid w:val="00BA76CA"/>
    <w:rsid w:val="00BB41F6"/>
    <w:rsid w:val="00BB4B42"/>
    <w:rsid w:val="00BD433B"/>
    <w:rsid w:val="00BF146F"/>
    <w:rsid w:val="00C15E9F"/>
    <w:rsid w:val="00C20283"/>
    <w:rsid w:val="00C32818"/>
    <w:rsid w:val="00C34506"/>
    <w:rsid w:val="00C402A0"/>
    <w:rsid w:val="00C536EF"/>
    <w:rsid w:val="00C66EE6"/>
    <w:rsid w:val="00CC7971"/>
    <w:rsid w:val="00CD047F"/>
    <w:rsid w:val="00CE4428"/>
    <w:rsid w:val="00CE6DAE"/>
    <w:rsid w:val="00D03231"/>
    <w:rsid w:val="00D035E0"/>
    <w:rsid w:val="00D05513"/>
    <w:rsid w:val="00D24BEB"/>
    <w:rsid w:val="00D25C06"/>
    <w:rsid w:val="00D26D26"/>
    <w:rsid w:val="00D33FFC"/>
    <w:rsid w:val="00D440AD"/>
    <w:rsid w:val="00D66C03"/>
    <w:rsid w:val="00D77277"/>
    <w:rsid w:val="00D92BC3"/>
    <w:rsid w:val="00D96FB5"/>
    <w:rsid w:val="00DB50A7"/>
    <w:rsid w:val="00DC16EB"/>
    <w:rsid w:val="00DE41A7"/>
    <w:rsid w:val="00DF6A05"/>
    <w:rsid w:val="00DF7FF0"/>
    <w:rsid w:val="00E01837"/>
    <w:rsid w:val="00E0231A"/>
    <w:rsid w:val="00E03EE9"/>
    <w:rsid w:val="00E100D7"/>
    <w:rsid w:val="00E14386"/>
    <w:rsid w:val="00E15175"/>
    <w:rsid w:val="00E160E5"/>
    <w:rsid w:val="00E2017E"/>
    <w:rsid w:val="00E24D73"/>
    <w:rsid w:val="00E51A29"/>
    <w:rsid w:val="00E62849"/>
    <w:rsid w:val="00E66DA3"/>
    <w:rsid w:val="00E67508"/>
    <w:rsid w:val="00E74F6E"/>
    <w:rsid w:val="00E7575A"/>
    <w:rsid w:val="00E75F8E"/>
    <w:rsid w:val="00E762D5"/>
    <w:rsid w:val="00E8099A"/>
    <w:rsid w:val="00E968B4"/>
    <w:rsid w:val="00EB3C66"/>
    <w:rsid w:val="00EB635D"/>
    <w:rsid w:val="00EB7D84"/>
    <w:rsid w:val="00EC311F"/>
    <w:rsid w:val="00EF1050"/>
    <w:rsid w:val="00F0273A"/>
    <w:rsid w:val="00F2456D"/>
    <w:rsid w:val="00F37890"/>
    <w:rsid w:val="00F4391F"/>
    <w:rsid w:val="00F43982"/>
    <w:rsid w:val="00F45741"/>
    <w:rsid w:val="00F512A8"/>
    <w:rsid w:val="00F5444E"/>
    <w:rsid w:val="00F66A15"/>
    <w:rsid w:val="00F7562A"/>
    <w:rsid w:val="00F83326"/>
    <w:rsid w:val="00F921C8"/>
    <w:rsid w:val="00F92C9D"/>
    <w:rsid w:val="00F97523"/>
    <w:rsid w:val="00FC1622"/>
    <w:rsid w:val="00FC2328"/>
    <w:rsid w:val="00FD3054"/>
    <w:rsid w:val="00FD612F"/>
    <w:rsid w:val="00FE26C0"/>
    <w:rsid w:val="00FF16A5"/>
    <w:rsid w:val="0E720912"/>
    <w:rsid w:val="20FA31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  <w:style w:type="paragraph" w:styleId="2">
    <w:name w:val="heading 2"/>
    <w:next w:val="1"/>
    <w:link w:val="27"/>
    <w:qFormat/>
    <w:uiPriority w:val="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120"/>
      <w:ind w:firstLine="0"/>
      <w:jc w:val="both"/>
      <w:outlineLvl w:val="1"/>
    </w:pPr>
    <w:rPr>
      <w:rFonts w:ascii="Arial" w:hAnsi="Arial" w:eastAsia="Arial Unicode MS" w:cs="Arial Unicode MS"/>
      <w:b/>
      <w:bCs/>
      <w:color w:val="000000"/>
      <w:sz w:val="28"/>
      <w:szCs w:val="28"/>
      <w:u w:color="000000"/>
      <w:lang w:val="ru-RU" w:eastAsia="ru-RU" w:bidi="ar-SA"/>
    </w:rPr>
  </w:style>
  <w:style w:type="paragraph" w:styleId="3">
    <w:name w:val="heading 3"/>
    <w:next w:val="1"/>
    <w:link w:val="28"/>
    <w:qFormat/>
    <w:uiPriority w:val="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180"/>
      <w:ind w:firstLine="0"/>
      <w:jc w:val="both"/>
      <w:outlineLvl w:val="2"/>
    </w:pPr>
    <w:rPr>
      <w:rFonts w:ascii="Cambria" w:hAnsi="Cambria" w:eastAsia="Cambria" w:cs="Cambria"/>
      <w:b/>
      <w:bCs/>
      <w:color w:val="000000"/>
      <w:sz w:val="28"/>
      <w:szCs w:val="28"/>
      <w:u w:color="000000"/>
      <w:lang w:val="ru-RU" w:eastAsia="ru-RU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 Indent 3"/>
    <w:basedOn w:val="1"/>
    <w:link w:val="25"/>
    <w:qFormat/>
    <w:uiPriority w:val="0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paragraph" w:styleId="9">
    <w:name w:val="annotation text"/>
    <w:basedOn w:val="1"/>
    <w:link w:val="22"/>
    <w:semiHidden/>
    <w:unhideWhenUsed/>
    <w:qFormat/>
    <w:uiPriority w:val="99"/>
    <w:rPr>
      <w:sz w:val="20"/>
      <w:szCs w:val="20"/>
    </w:rPr>
  </w:style>
  <w:style w:type="paragraph" w:styleId="10">
    <w:name w:val="annotation subject"/>
    <w:basedOn w:val="9"/>
    <w:next w:val="9"/>
    <w:link w:val="23"/>
    <w:semiHidden/>
    <w:unhideWhenUsed/>
    <w:qFormat/>
    <w:uiPriority w:val="99"/>
    <w:rPr>
      <w:b/>
      <w:bCs/>
    </w:r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 Indent"/>
    <w:basedOn w:val="1"/>
    <w:link w:val="21"/>
    <w:unhideWhenUsed/>
    <w:qFormat/>
    <w:uiPriority w:val="99"/>
    <w:pPr>
      <w:spacing w:after="120"/>
      <w:ind w:left="283"/>
    </w:pPr>
  </w:style>
  <w:style w:type="paragraph" w:styleId="13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 Indent 2"/>
    <w:basedOn w:val="1"/>
    <w:link w:val="20"/>
    <w:semiHidden/>
    <w:unhideWhenUsed/>
    <w:qFormat/>
    <w:uiPriority w:val="0"/>
    <w:pPr>
      <w:spacing w:after="120" w:line="480" w:lineRule="auto"/>
      <w:ind w:left="283" w:firstLine="0"/>
      <w:jc w:val="left"/>
    </w:pPr>
    <w:rPr>
      <w:rFonts w:eastAsia="Times New Roman"/>
      <w:sz w:val="20"/>
      <w:szCs w:val="20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7">
    <w:name w:val="Верхний колонтитул Знак"/>
    <w:basedOn w:val="4"/>
    <w:link w:val="11"/>
    <w:qFormat/>
    <w:uiPriority w:val="99"/>
  </w:style>
  <w:style w:type="character" w:customStyle="1" w:styleId="18">
    <w:name w:val="Нижний колонтитул Знак"/>
    <w:basedOn w:val="4"/>
    <w:link w:val="13"/>
    <w:qFormat/>
    <w:uiPriority w:val="99"/>
  </w:style>
  <w:style w:type="character" w:customStyle="1" w:styleId="1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basedOn w:val="4"/>
    <w:link w:val="14"/>
    <w:semiHidden/>
    <w:qFormat/>
    <w:uiPriority w:val="0"/>
    <w:rPr>
      <w:rFonts w:eastAsia="Times New Roman"/>
      <w:sz w:val="20"/>
      <w:szCs w:val="20"/>
      <w:lang w:eastAsia="ru-RU"/>
    </w:rPr>
  </w:style>
  <w:style w:type="character" w:customStyle="1" w:styleId="21">
    <w:name w:val="Основной текст с отступом Знак"/>
    <w:basedOn w:val="4"/>
    <w:link w:val="12"/>
    <w:qFormat/>
    <w:uiPriority w:val="99"/>
  </w:style>
  <w:style w:type="character" w:customStyle="1" w:styleId="22">
    <w:name w:val="Текст примечания Знак"/>
    <w:basedOn w:val="4"/>
    <w:link w:val="9"/>
    <w:semiHidden/>
    <w:qFormat/>
    <w:uiPriority w:val="99"/>
    <w:rPr>
      <w:sz w:val="20"/>
      <w:szCs w:val="20"/>
    </w:rPr>
  </w:style>
  <w:style w:type="character" w:customStyle="1" w:styleId="23">
    <w:name w:val="Тема примечания Знак"/>
    <w:basedOn w:val="22"/>
    <w:link w:val="10"/>
    <w:semiHidden/>
    <w:qFormat/>
    <w:uiPriority w:val="99"/>
    <w:rPr>
      <w:b/>
      <w:bCs/>
      <w:sz w:val="20"/>
      <w:szCs w:val="20"/>
    </w:rPr>
  </w:style>
  <w:style w:type="paragraph" w:customStyle="1" w:styleId="24">
    <w:name w:val="ConsPlusNormal"/>
    <w:qFormat/>
    <w:uiPriority w:val="0"/>
    <w:pPr>
      <w:widowControl w:val="0"/>
      <w:autoSpaceDE w:val="0"/>
      <w:autoSpaceDN w:val="0"/>
      <w:ind w:firstLine="0"/>
      <w:jc w:val="left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character" w:customStyle="1" w:styleId="25">
    <w:name w:val="Основной текст с отступом 3 Знак"/>
    <w:basedOn w:val="4"/>
    <w:link w:val="8"/>
    <w:uiPriority w:val="0"/>
    <w:rPr>
      <w:rFonts w:eastAsia="Times New Roman"/>
      <w:sz w:val="16"/>
      <w:szCs w:val="16"/>
      <w:lang w:eastAsia="ru-RU"/>
    </w:rPr>
  </w:style>
  <w:style w:type="paragraph" w:customStyle="1" w:styleId="26">
    <w:name w:val="Абзац списка1"/>
    <w:basedOn w:val="1"/>
    <w:qFormat/>
    <w:uiPriority w:val="0"/>
    <w:pPr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27">
    <w:name w:val="Заголовок 2 Знак"/>
    <w:basedOn w:val="4"/>
    <w:link w:val="2"/>
    <w:qFormat/>
    <w:uiPriority w:val="0"/>
    <w:rPr>
      <w:rFonts w:ascii="Arial" w:hAnsi="Arial" w:eastAsia="Arial Unicode MS" w:cs="Arial Unicode MS"/>
      <w:b/>
      <w:bCs/>
      <w:color w:val="000000"/>
      <w:u w:color="000000"/>
      <w:lang w:eastAsia="ru-RU"/>
    </w:rPr>
  </w:style>
  <w:style w:type="character" w:customStyle="1" w:styleId="28">
    <w:name w:val="Заголовок 3 Знак"/>
    <w:basedOn w:val="4"/>
    <w:link w:val="3"/>
    <w:qFormat/>
    <w:uiPriority w:val="0"/>
    <w:rPr>
      <w:rFonts w:ascii="Cambria" w:hAnsi="Cambria" w:eastAsia="Cambria" w:cs="Cambria"/>
      <w:b/>
      <w:bCs/>
      <w:color w:val="000000"/>
      <w:u w:color="000000"/>
      <w:lang w:eastAsia="ru-RU"/>
    </w:rPr>
  </w:style>
  <w:style w:type="paragraph" w:styleId="29">
    <w:name w:val="No Spacing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firstLine="0"/>
      <w:jc w:val="left"/>
    </w:pPr>
    <w:rPr>
      <w:rFonts w:ascii="Calibri" w:hAnsi="Calibri" w:eastAsia="Calibri" w:cs="Calibri"/>
      <w:color w:val="000000"/>
      <w:sz w:val="22"/>
      <w:szCs w:val="22"/>
      <w:u w:color="000000"/>
      <w:lang w:val="ru-RU" w:eastAsia="ru-RU" w:bidi="ar-SA"/>
    </w:rPr>
  </w:style>
  <w:style w:type="paragraph" w:customStyle="1" w:styleId="30">
    <w:name w:val="p6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31">
    <w:name w:val="s2"/>
    <w:basedOn w:val="4"/>
    <w:qFormat/>
    <w:uiPriority w:val="0"/>
  </w:style>
  <w:style w:type="paragraph" w:customStyle="1" w:styleId="32">
    <w:name w:val="Стиль1"/>
    <w:basedOn w:val="1"/>
    <w:qFormat/>
    <w:uiPriority w:val="0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33">
    <w:name w:val="Style4"/>
    <w:basedOn w:val="1"/>
    <w:qFormat/>
    <w:uiPriority w:val="0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34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3ED0C6-04BA-469F-AC6B-79BBE21D74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5</Pages>
  <Words>1537</Words>
  <Characters>8764</Characters>
  <Lines>73</Lines>
  <Paragraphs>20</Paragraphs>
  <TotalTime>11</TotalTime>
  <ScaleCrop>false</ScaleCrop>
  <LinksUpToDate>false</LinksUpToDate>
  <CharactersWithSpaces>10281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2019-11-13T12:42:00Z</dcterms:created>
  <dc:creator>b.zhappueva</dc:creator>
  <cp:lastModifiedBy>Kahun</cp:lastModifiedBy>
  <cp:lastPrinted>2019-11-14T09:48:00Z</cp:lastPrinted>
  <dcterms:modified xsi:type="dcterms:W3CDTF">2026-04-23T07:29:36Z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1A6D08114D80487EA412EFE27116820A_13</vt:lpwstr>
  </property>
</Properties>
</file>